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after="40"/>
        <w:jc w:val="left"/>
      </w:pPr>
      <w:r>
        <w:rPr>
          <w:rFonts w:ascii="Arial" w:hAnsi="Arial"/>
          <w:b/>
          <w:i w:val="0"/>
          <w:color w:val="1E293B"/>
          <w:sz w:val="44"/>
        </w:rPr>
        <w:t>Kirsten Alburg</w:t>
      </w:r>
    </w:p>
    <w:p>
      <w:pPr>
        <w:spacing w:after="80"/>
        <w:jc w:val="left"/>
      </w:pPr>
      <w:r>
        <w:rPr>
          <w:rFonts w:ascii="Arial" w:hAnsi="Arial"/>
          <w:b/>
          <w:i w:val="0"/>
          <w:color w:val="2563EB"/>
          <w:sz w:val="23"/>
        </w:rPr>
        <w:t>Learning Experience Designer | Instructional Designer</w:t>
      </w:r>
    </w:p>
    <w:p>
      <w:pPr>
        <w:spacing w:after="40"/>
        <w:jc w:val="left"/>
      </w:pPr>
      <w:r>
        <w:rPr>
          <w:rFonts w:ascii="Arial" w:hAnsi="Arial"/>
          <w:b w:val="0"/>
          <w:i w:val="0"/>
          <w:color w:val="64748B"/>
          <w:sz w:val="18"/>
        </w:rPr>
        <w:t>906-251-8632 · kirstenalburgstudio@gmail.com · linkedin.com/in/kirsten-alburg-59a459237</w:t>
      </w:r>
    </w:p>
    <w:p>
      <w:pPr>
        <w:spacing w:after="40"/>
        <w:jc w:val="left"/>
      </w:pPr>
      <w:r>
        <w:rPr>
          <w:rFonts w:ascii="Arial" w:hAnsi="Arial"/>
          <w:b w:val="0"/>
          <w:i w:val="0"/>
          <w:color w:val="64748B"/>
          <w:sz w:val="18"/>
        </w:rPr>
        <w:t>195 Lakewood Lane, Marquette, MI 49855 · Remote — open to full-time and contract roles</w:t>
      </w:r>
    </w:p>
    <w:p>
      <w:pPr>
        <w:spacing w:after="80"/>
        <w:jc w:val="left"/>
      </w:pPr>
      <w:r>
        <w:rPr>
          <w:rFonts w:ascii="Arial" w:hAnsi="Arial"/>
          <w:b w:val="0"/>
          <w:i w:val="0"/>
          <w:color w:val="1E293B"/>
          <w:sz w:val="12"/>
        </w:rPr>
      </w:r>
    </w:p>
    <w:p>
      <w:pPr>
        <w:spacing w:after="160"/>
        <w:jc w:val="left"/>
      </w:pPr>
      <w:r>
        <w:rPr>
          <w:rFonts w:ascii="Arial" w:hAnsi="Arial"/>
          <w:b w:val="0"/>
          <w:i w:val="0"/>
          <w:color w:val="64748B"/>
          <w:sz w:val="19"/>
        </w:rPr>
        <w:t>[Date]</w:t>
      </w:r>
    </w:p>
    <w:p>
      <w:pPr>
        <w:spacing w:after="160"/>
        <w:jc w:val="left"/>
      </w:pPr>
      <w:r>
        <w:rPr>
          <w:rFonts w:ascii="Arial" w:hAnsi="Arial"/>
          <w:b w:val="0"/>
          <w:i w:val="0"/>
          <w:color w:val="1E293B"/>
          <w:sz w:val="21"/>
        </w:rPr>
        <w:t>Dear Hiring Team,</w:t>
      </w:r>
    </w:p>
    <w:p>
      <w:pPr>
        <w:spacing w:after="160"/>
        <w:jc w:val="left"/>
      </w:pPr>
      <w:r>
        <w:rPr>
          <w:rFonts w:ascii="Arial" w:hAnsi="Arial"/>
          <w:b w:val="0"/>
          <w:i w:val="0"/>
          <w:color w:val="1E293B"/>
          <w:sz w:val="21"/>
        </w:rPr>
        <w:t>I am writing to express my interest in your [Role Title] opening at [Organization]. I am a Learning Experience Designer specializing in transforming complex information into clear, engaging learning experiences — with a unique background in science communication, higher education, and field-based learning. With an M.S. in Instructional Design and Technology and nearly three decades of experience, I have focused my career on one challenge: helping people understand complex information — and designing the learning that helps them apply and retain it.</w:t>
      </w:r>
    </w:p>
    <w:p>
      <w:pPr>
        <w:spacing w:after="160"/>
        <w:jc w:val="left"/>
      </w:pPr>
      <w:r>
        <w:rPr>
          <w:rFonts w:ascii="Arial" w:hAnsi="Arial"/>
          <w:b w:val="0"/>
          <w:i w:val="0"/>
          <w:color w:val="1E293B"/>
          <w:sz w:val="21"/>
        </w:rPr>
        <w:t>My experience spans higher education instructional design, digital learning development, and professional learning design. As Instructional Designer and Educational Technology Specialist at Iḷisaġvik College, I partnered with faculty subject matter experts to design and improve online courses in Moodle, strengthening course structure, sequencing, accessibility, and assessment alignment while supporting faculty adoption of instructional technology. Through Odyssey Discovery, I design digital and experiential learning programs — Field Notes: Explorer and Educator Expeditions — that connect educators and learners with scientists, researchers, and field experts: analyzing audience needs, defining measurable outcomes, collaborating with subject matter experts, translating complex science into clear learning, and evaluating whether the learning worked.</w:t>
      </w:r>
    </w:p>
    <w:p>
      <w:pPr>
        <w:spacing w:after="160"/>
        <w:jc w:val="left"/>
      </w:pPr>
      <w:r>
        <w:rPr>
          <w:rFonts w:ascii="Arial" w:hAnsi="Arial"/>
          <w:b w:val="0"/>
          <w:i w:val="0"/>
          <w:color w:val="1E293B"/>
          <w:sz w:val="21"/>
        </w:rPr>
        <w:t>What I bring beyond core instructional design is a rare background in science education, field-based learning, and knowledge translation. I have spent years helping experts communicate complex ideas to broader audiences — work that transfers directly to corporate learning, higher education, research and conservation organizations, and nonprofits. That practice is captured in The Clarity Learning Framework™ — Understand, Clarify, Design, Engage, Improve — a human-centered process that keeps every design decision anchored to what the learner needs to understand and do.</w:t>
      </w:r>
    </w:p>
    <w:p>
      <w:pPr>
        <w:spacing w:after="160"/>
        <w:jc w:val="left"/>
      </w:pPr>
      <w:r>
        <w:rPr>
          <w:rFonts w:ascii="Arial" w:hAnsi="Arial"/>
          <w:b w:val="0"/>
          <w:i w:val="0"/>
          <w:color w:val="1E293B"/>
          <w:sz w:val="21"/>
        </w:rPr>
        <w:t>I am interested in contributing to an organization that values meaningful learning experiences, thoughtful design, and helping people successfully apply new knowledge. I would welcome a conversation about your learning goals and how I can support them. My portfolio, interactive learning demonstrations, and case studies are available at kirstenalburgdesign.com. Thank you for your time and consideration.</w:t>
      </w:r>
    </w:p>
    <w:p>
      <w:pPr>
        <w:spacing w:after="200"/>
        <w:jc w:val="left"/>
      </w:pPr>
      <w:r>
        <w:rPr>
          <w:rFonts w:ascii="Arial" w:hAnsi="Arial"/>
          <w:b w:val="0"/>
          <w:i w:val="0"/>
          <w:color w:val="1E293B"/>
          <w:sz w:val="21"/>
        </w:rPr>
        <w:t>Sincerely,</w:t>
      </w:r>
    </w:p>
    <w:p>
      <w:pPr>
        <w:spacing w:after="40"/>
        <w:jc w:val="left"/>
      </w:pPr>
      <w:r>
        <w:rPr>
          <w:rFonts w:ascii="Arial" w:hAnsi="Arial"/>
          <w:b/>
          <w:i w:val="0"/>
          <w:color w:val="1E293B"/>
          <w:sz w:val="21"/>
        </w:rPr>
        <w:t>Kirsten Alburg</w:t>
      </w:r>
    </w:p>
    <w:p>
      <w:pPr>
        <w:spacing w:after="0"/>
        <w:jc w:val="left"/>
      </w:pPr>
      <w:r>
        <w:rPr>
          <w:rFonts w:ascii="Arial" w:hAnsi="Arial"/>
          <w:b w:val="0"/>
          <w:i w:val="0"/>
          <w:color w:val="64748B"/>
          <w:sz w:val="20"/>
        </w:rPr>
        <w:t>Learning Experience Designer | Instructional Designer</w:t>
      </w:r>
    </w:p>
    <w:p>
      <w:r>
        <w:br w:type="page"/>
      </w:r>
    </w:p>
    <w:p>
      <w:pPr>
        <w:spacing w:after="120"/>
        <w:jc w:val="left"/>
      </w:pPr>
      <w:r>
        <w:rPr>
          <w:rFonts w:ascii="Arial" w:hAnsi="Arial"/>
          <w:b/>
          <w:i w:val="0"/>
          <w:color w:val="1E293B"/>
          <w:sz w:val="28"/>
        </w:rPr>
        <w:t>Adapting this letter</w:t>
      </w:r>
    </w:p>
    <w:p>
      <w:pPr>
        <w:spacing w:after="200"/>
        <w:jc w:val="left"/>
      </w:pPr>
      <w:r>
        <w:rPr>
          <w:rFonts w:ascii="Arial" w:hAnsi="Arial"/>
          <w:b w:val="0"/>
          <w:i w:val="0"/>
          <w:color w:val="1E293B"/>
          <w:sz w:val="21"/>
        </w:rPr>
        <w:t>The letter on page one works as written. Use the notes below to tailor the emphasis to the type of organization you are applying to — the structure, tone, and closing stay the same.</w:t>
      </w:r>
    </w:p>
    <w:p>
      <w:pPr>
        <w:spacing w:after="80"/>
        <w:jc w:val="left"/>
      </w:pPr>
      <w:r>
        <w:rPr>
          <w:rFonts w:ascii="Arial" w:hAnsi="Arial"/>
          <w:b/>
          <w:i w:val="0"/>
          <w:color w:val="2563EB"/>
          <w:sz w:val="23"/>
        </w:rPr>
        <w:t>Version 1 — Remote Instructional Designer / Learning Experience Designer</w:t>
      </w:r>
    </w:p>
    <w:p>
      <w:pPr>
        <w:pStyle w:val="ListBullet"/>
        <w:spacing w:after="60"/>
        <w:jc w:val="left"/>
      </w:pPr>
      <w:r>
        <w:rPr>
          <w:rFonts w:ascii="Arial" w:hAnsi="Arial"/>
          <w:b w:val="0"/>
          <w:i w:val="0"/>
          <w:color w:val="1E293B"/>
          <w:sz w:val="21"/>
        </w:rPr>
        <w:t>Emphasize instructional design methodology: ADDIE, backward design, Bloom's Taxonomy, UDL.</w:t>
      </w:r>
    </w:p>
    <w:p>
      <w:pPr>
        <w:pStyle w:val="ListBullet"/>
        <w:spacing w:after="60"/>
        <w:jc w:val="left"/>
      </w:pPr>
      <w:r>
        <w:rPr>
          <w:rFonts w:ascii="Arial" w:hAnsi="Arial"/>
          <w:b w:val="0"/>
          <w:i w:val="0"/>
          <w:color w:val="1E293B"/>
          <w:sz w:val="21"/>
        </w:rPr>
        <w:t>Name LMS experience directly (Moodle design and administration, Canvas training).</w:t>
      </w:r>
    </w:p>
    <w:p>
      <w:pPr>
        <w:pStyle w:val="ListBullet"/>
        <w:spacing w:after="60"/>
        <w:jc w:val="left"/>
      </w:pPr>
      <w:r>
        <w:rPr>
          <w:rFonts w:ascii="Arial" w:hAnsi="Arial"/>
          <w:b w:val="0"/>
          <w:i w:val="0"/>
          <w:color w:val="1E293B"/>
          <w:sz w:val="21"/>
        </w:rPr>
        <w:t>Highlight course development: storyboarding, scenario-based practice, assessment design.</w:t>
      </w:r>
    </w:p>
    <w:p>
      <w:pPr>
        <w:pStyle w:val="ListBullet"/>
        <w:spacing w:after="60"/>
        <w:jc w:val="left"/>
      </w:pPr>
      <w:r>
        <w:rPr>
          <w:rFonts w:ascii="Arial" w:hAnsi="Arial"/>
          <w:b w:val="0"/>
          <w:i w:val="0"/>
          <w:color w:val="1E293B"/>
          <w:sz w:val="21"/>
        </w:rPr>
        <w:t>Close on learning strategy, evaluation, and dependable remote collaboration.</w:t>
      </w:r>
    </w:p>
    <w:p>
      <w:pPr>
        <w:spacing w:after="80"/>
        <w:jc w:val="left"/>
      </w:pPr>
      <w:r>
        <w:rPr>
          <w:rFonts w:ascii="Arial" w:hAnsi="Arial"/>
          <w:b/>
          <w:i w:val="0"/>
          <w:color w:val="2563EB"/>
          <w:sz w:val="23"/>
        </w:rPr>
        <w:t>Version 2 — Higher Education / EdTech</w:t>
      </w:r>
    </w:p>
    <w:p>
      <w:pPr>
        <w:pStyle w:val="ListBullet"/>
        <w:spacing w:after="60"/>
        <w:jc w:val="left"/>
      </w:pPr>
      <w:r>
        <w:rPr>
          <w:rFonts w:ascii="Arial" w:hAnsi="Arial"/>
          <w:b w:val="0"/>
          <w:i w:val="0"/>
          <w:color w:val="1E293B"/>
          <w:sz w:val="21"/>
        </w:rPr>
        <w:t>Foreground the Iḷisaġvik College role: faculty support and SME collaboration.</w:t>
      </w:r>
    </w:p>
    <w:p>
      <w:pPr>
        <w:pStyle w:val="ListBullet"/>
        <w:spacing w:after="60"/>
        <w:jc w:val="left"/>
      </w:pPr>
      <w:r>
        <w:rPr>
          <w:rFonts w:ascii="Arial" w:hAnsi="Arial"/>
          <w:b w:val="0"/>
          <w:i w:val="0"/>
          <w:color w:val="1E293B"/>
          <w:sz w:val="21"/>
        </w:rPr>
        <w:t>Emphasize online learning design in Moodle and Canvas training and enablement.</w:t>
      </w:r>
    </w:p>
    <w:p>
      <w:pPr>
        <w:pStyle w:val="ListBullet"/>
        <w:spacing w:after="60"/>
        <w:jc w:val="left"/>
      </w:pPr>
      <w:r>
        <w:rPr>
          <w:rFonts w:ascii="Arial" w:hAnsi="Arial"/>
          <w:b w:val="0"/>
          <w:i w:val="0"/>
          <w:color w:val="1E293B"/>
          <w:sz w:val="21"/>
        </w:rPr>
        <w:t>Highlight course improvement: structure, sequencing, accessibility, assessment alignment.</w:t>
      </w:r>
    </w:p>
    <w:p>
      <w:pPr>
        <w:pStyle w:val="ListBullet"/>
        <w:spacing w:after="60"/>
        <w:jc w:val="left"/>
      </w:pPr>
      <w:r>
        <w:rPr>
          <w:rFonts w:ascii="Arial" w:hAnsi="Arial"/>
          <w:b w:val="0"/>
          <w:i w:val="0"/>
          <w:color w:val="1E293B"/>
          <w:sz w:val="21"/>
        </w:rPr>
        <w:t>Close on improving the student learning experience and institutional quality.</w:t>
      </w:r>
    </w:p>
    <w:p>
      <w:pPr>
        <w:spacing w:after="80"/>
        <w:jc w:val="left"/>
      </w:pPr>
      <w:r>
        <w:rPr>
          <w:rFonts w:ascii="Arial" w:hAnsi="Arial"/>
          <w:b/>
          <w:i w:val="0"/>
          <w:color w:val="2563EB"/>
          <w:sz w:val="23"/>
        </w:rPr>
        <w:t>Version 3 — Science, Conservation, Nonprofit &amp; Research Organizations</w:t>
      </w:r>
    </w:p>
    <w:p>
      <w:pPr>
        <w:pStyle w:val="ListBullet"/>
        <w:spacing w:after="60"/>
        <w:jc w:val="left"/>
      </w:pPr>
      <w:r>
        <w:rPr>
          <w:rFonts w:ascii="Arial" w:hAnsi="Arial"/>
          <w:b w:val="0"/>
          <w:i w:val="0"/>
          <w:color w:val="1E293B"/>
          <w:sz w:val="21"/>
        </w:rPr>
        <w:t>Foreground science communication and research translation for non-expert audiences.</w:t>
      </w:r>
    </w:p>
    <w:p>
      <w:pPr>
        <w:pStyle w:val="ListBullet"/>
        <w:spacing w:after="60"/>
        <w:jc w:val="left"/>
      </w:pPr>
      <w:r>
        <w:rPr>
          <w:rFonts w:ascii="Arial" w:hAnsi="Arial"/>
          <w:b w:val="0"/>
          <w:i w:val="0"/>
          <w:color w:val="1E293B"/>
          <w:sz w:val="21"/>
        </w:rPr>
        <w:t>Emphasize conservation learning, environmental education, and field-based learning design.</w:t>
      </w:r>
    </w:p>
    <w:p>
      <w:pPr>
        <w:pStyle w:val="ListBullet"/>
        <w:spacing w:after="60"/>
        <w:jc w:val="left"/>
      </w:pPr>
      <w:r>
        <w:rPr>
          <w:rFonts w:ascii="Arial" w:hAnsi="Arial"/>
          <w:b w:val="0"/>
          <w:i w:val="0"/>
          <w:color w:val="1E293B"/>
          <w:sz w:val="21"/>
        </w:rPr>
        <w:t>Highlight experience connecting educators, scientists, and partner organizations.</w:t>
      </w:r>
    </w:p>
    <w:p>
      <w:pPr>
        <w:pStyle w:val="ListBullet"/>
        <w:spacing w:after="60"/>
        <w:jc w:val="left"/>
      </w:pPr>
      <w:r>
        <w:rPr>
          <w:rFonts w:ascii="Arial" w:hAnsi="Arial"/>
          <w:b w:val="0"/>
          <w:i w:val="0"/>
          <w:color w:val="1E293B"/>
          <w:sz w:val="21"/>
        </w:rPr>
        <w:t>Close on public engagement outcomes and learning that changes understanding and practice.</w:t>
      </w:r>
    </w:p>
    <w:p>
      <w:pPr>
        <w:spacing w:after="120"/>
        <w:jc w:val="left"/>
      </w:pPr>
      <w:r>
        <w:rPr>
          <w:rFonts w:ascii="Arial" w:hAnsi="Arial"/>
          <w:b/>
          <w:i w:val="0"/>
          <w:color w:val="1E293B"/>
          <w:sz w:val="28"/>
        </w:rPr>
        <w:t>Before you send it</w:t>
      </w:r>
    </w:p>
    <w:p>
      <w:pPr>
        <w:pStyle w:val="ListBullet"/>
        <w:spacing w:after="60"/>
        <w:jc w:val="left"/>
      </w:pPr>
      <w:r>
        <w:rPr>
          <w:rFonts w:ascii="Arial" w:hAnsi="Arial"/>
          <w:b w:val="0"/>
          <w:i w:val="0"/>
          <w:color w:val="1E293B"/>
          <w:sz w:val="21"/>
        </w:rPr>
        <w:t>Replace [Role Title] and [Organization] with the exact posted title and organization name.</w:t>
      </w:r>
    </w:p>
    <w:p>
      <w:pPr>
        <w:pStyle w:val="ListBullet"/>
        <w:spacing w:after="60"/>
        <w:jc w:val="left"/>
      </w:pPr>
      <w:r>
        <w:rPr>
          <w:rFonts w:ascii="Arial" w:hAnsi="Arial"/>
          <w:b w:val="0"/>
          <w:i w:val="0"/>
          <w:color w:val="1E293B"/>
          <w:sz w:val="21"/>
        </w:rPr>
        <w:t>Add one sentence naming why the organization's mission or learners matter to you.</w:t>
      </w:r>
    </w:p>
    <w:p>
      <w:pPr>
        <w:pStyle w:val="ListBullet"/>
        <w:spacing w:after="60"/>
        <w:jc w:val="left"/>
      </w:pPr>
      <w:r>
        <w:rPr>
          <w:rFonts w:ascii="Arial" w:hAnsi="Arial"/>
          <w:b w:val="0"/>
          <w:i w:val="0"/>
          <w:color w:val="1E293B"/>
          <w:sz w:val="21"/>
        </w:rPr>
        <w:t>Mirror two or three keywords from the job description in the second paragraph.</w:t>
      </w:r>
    </w:p>
    <w:p>
      <w:pPr>
        <w:pStyle w:val="ListBullet"/>
        <w:spacing w:after="60"/>
        <w:jc w:val="left"/>
      </w:pPr>
      <w:r>
        <w:rPr>
          <w:rFonts w:ascii="Arial" w:hAnsi="Arial"/>
          <w:b w:val="0"/>
          <w:i w:val="0"/>
          <w:color w:val="1E293B"/>
          <w:sz w:val="21"/>
        </w:rPr>
        <w:t>Keep the letter to one page and keep the closing call to action.</w:t>
      </w:r>
    </w:p>
    <w:sectPr w:rsidR="00FC693F" w:rsidRPr="0006063C" w:rsidSect="00034616">
      <w:pgSz w:w="12240" w:h="15840"/>
      <w:pgMar w:top="1152" w:right="1296" w:bottom="1152" w:left="1296"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Arial" w:hAnsi="Arial"/>
      <w:sz w:val="21"/>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